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DAA" w:rsidRDefault="00DA2588">
      <w:pPr>
        <w:spacing w:line="360" w:lineRule="auto"/>
        <w:ind w:right="-55"/>
        <w:jc w:val="right"/>
      </w:pPr>
      <w:r>
        <w:rPr>
          <w:rFonts w:ascii="Arial" w:eastAsia="Arial" w:hAnsi="Arial" w:cs="Arial"/>
          <w:sz w:val="24"/>
          <w:szCs w:val="24"/>
        </w:rPr>
        <w:t xml:space="preserve">           Dois Vizinhos, 18 de março de 2022.</w:t>
      </w:r>
    </w:p>
    <w:p w:rsidR="00984DAA" w:rsidRDefault="00DA2588">
      <w:pPr>
        <w:spacing w:line="360" w:lineRule="auto"/>
        <w:ind w:right="-55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CI – 231/2022</w:t>
      </w:r>
    </w:p>
    <w:p w:rsidR="00984DAA" w:rsidRDefault="00984DAA">
      <w:pPr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:rsidR="00984DAA" w:rsidRDefault="00DA2588">
      <w:pPr>
        <w:jc w:val="center"/>
      </w:pP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SOLICITAÇÃO DE ABERTURA DE PROCESSO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DE LICITAÇÃO</w:t>
      </w:r>
    </w:p>
    <w:p w:rsidR="00984DAA" w:rsidRDefault="00984DAA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984DAA" w:rsidRDefault="00984DAA">
      <w:pPr>
        <w:ind w:left="29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984DAA" w:rsidRDefault="00DA2588">
      <w:pPr>
        <w:ind w:left="29"/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DE: </w:t>
      </w:r>
      <w:r>
        <w:rPr>
          <w:rFonts w:ascii="Arial" w:eastAsia="Arial" w:hAnsi="Arial" w:cs="Arial"/>
          <w:color w:val="000000"/>
          <w:sz w:val="24"/>
          <w:szCs w:val="24"/>
        </w:rPr>
        <w:t>SECRETARIA MUNICIPAL DE EDUCAÇÃO</w:t>
      </w:r>
    </w:p>
    <w:p w:rsidR="00984DAA" w:rsidRDefault="00DA2588">
      <w:pPr>
        <w:spacing w:line="360" w:lineRule="auto"/>
        <w:ind w:right="-55"/>
      </w:pPr>
      <w:r>
        <w:rPr>
          <w:rFonts w:ascii="Arial" w:eastAsia="Arial" w:hAnsi="Arial" w:cs="Arial"/>
          <w:b/>
          <w:sz w:val="24"/>
          <w:szCs w:val="24"/>
        </w:rPr>
        <w:t xml:space="preserve">PARA: </w:t>
      </w:r>
      <w:r>
        <w:rPr>
          <w:rFonts w:ascii="Arial" w:eastAsia="Arial" w:hAnsi="Arial" w:cs="Arial"/>
          <w:sz w:val="24"/>
          <w:szCs w:val="24"/>
        </w:rPr>
        <w:t>SECRETARIA DE ADMINISTRAÇÃO E FINANÇAS</w:t>
      </w:r>
    </w:p>
    <w:p w:rsidR="00984DAA" w:rsidRDefault="00984DAA">
      <w:pPr>
        <w:spacing w:line="360" w:lineRule="auto"/>
        <w:ind w:right="-55"/>
        <w:rPr>
          <w:rFonts w:ascii="Arial" w:eastAsia="Arial" w:hAnsi="Arial" w:cs="Arial"/>
          <w:sz w:val="22"/>
          <w:szCs w:val="22"/>
        </w:rPr>
      </w:pPr>
    </w:p>
    <w:p w:rsidR="00984DAA" w:rsidRDefault="00DA2588">
      <w:pPr>
        <w:spacing w:line="276" w:lineRule="auto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Solicito que seja autorizado o procedimento de abertura de licitação para a aquisição de computadores e monitores para atendimento aos alunos da Rede Pública Municipal de Dois Vizinhos..</w:t>
      </w:r>
    </w:p>
    <w:p w:rsidR="00984DAA" w:rsidRDefault="00DA2588">
      <w:pPr>
        <w:spacing w:line="276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Justifica-se a solicitação, com objetivo de aquisição de computadores e monitores com recursos do convênio nº 202100422 que tem como objetivo fomentar o desenvolvimento dos Municípios Paranaenses, foi instituído através do Decreto nº 7.973/2021 o Plano Paraná Maia Cidades II. A parceria justifica-se como forma de apoio ao atendimento aos alunos de Rede Pública Municipal, com o aparelhamento tecnológico das escolas promovendo aos alunos melhor aproveitamento do conteúdo escolar, bem como a inserção dos alunos à realidade tecnológica e aos professores, novas metodologias de ensino e atendimentos aos educandos.</w:t>
      </w:r>
    </w:p>
    <w:p w:rsidR="00984DAA" w:rsidRDefault="00984DAA">
      <w:pPr>
        <w:spacing w:line="276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984DAA" w:rsidRDefault="00DA2588">
      <w:pPr>
        <w:spacing w:line="360" w:lineRule="auto"/>
        <w:jc w:val="both"/>
      </w:pPr>
      <w:r>
        <w:rPr>
          <w:rFonts w:ascii="Arial" w:eastAsia="Arial" w:hAnsi="Arial" w:cs="Arial"/>
          <w:b/>
          <w:sz w:val="22"/>
          <w:szCs w:val="22"/>
        </w:rPr>
        <w:t xml:space="preserve">FONTE DA DESPESA: </w:t>
      </w:r>
      <w:r>
        <w:rPr>
          <w:rFonts w:ascii="Arial" w:eastAsia="Arial" w:hAnsi="Arial" w:cs="Arial"/>
          <w:sz w:val="24"/>
          <w:szCs w:val="24"/>
        </w:rPr>
        <w:t>Termo de Convênio nº 202100422</w:t>
      </w:r>
    </w:p>
    <w:p w:rsidR="00984DAA" w:rsidRDefault="00DA2588">
      <w:pPr>
        <w:tabs>
          <w:tab w:val="left" w:pos="720"/>
        </w:tabs>
        <w:spacing w:line="360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</w:r>
    </w:p>
    <w:p w:rsidR="00984DAA" w:rsidRDefault="00DA258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ESPECIFICAÇÕES DO PRODUTO/SERVIÇO</w:t>
      </w:r>
    </w:p>
    <w:p w:rsidR="00984DAA" w:rsidRDefault="00984DAA">
      <w:pPr>
        <w:jc w:val="both"/>
        <w:rPr>
          <w:rFonts w:ascii="Arial" w:eastAsia="Arial" w:hAnsi="Arial" w:cs="Arial"/>
        </w:rPr>
      </w:pPr>
    </w:p>
    <w:tbl>
      <w:tblPr>
        <w:tblW w:w="8721" w:type="dxa"/>
        <w:tblLook w:val="04A0" w:firstRow="1" w:lastRow="0" w:firstColumn="1" w:lastColumn="0" w:noHBand="0" w:noVBand="1"/>
      </w:tblPr>
      <w:tblGrid>
        <w:gridCol w:w="818"/>
        <w:gridCol w:w="1886"/>
        <w:gridCol w:w="2562"/>
        <w:gridCol w:w="1667"/>
        <w:gridCol w:w="1788"/>
      </w:tblGrid>
      <w:tr w:rsidR="00984DAA">
        <w:trPr>
          <w:trHeight w:val="57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DA2588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Item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DA2588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Código do Item/Serviço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DA2588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Descrição do Item/Serviço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DA2588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Unidade de Medida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DA2588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Quantidade</w:t>
            </w:r>
          </w:p>
        </w:tc>
      </w:tr>
      <w:tr w:rsidR="00984DAA">
        <w:trPr>
          <w:trHeight w:val="113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DA258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984DA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Microco</w:t>
            </w:r>
            <w:r w:rsidR="00AD7ABD">
              <w:rPr>
                <w:rFonts w:ascii="Arial" w:eastAsia="Arial" w:hAnsi="Arial" w:cs="Arial"/>
                <w:color w:val="000000"/>
                <w:sz w:val="18"/>
                <w:szCs w:val="18"/>
              </w:rPr>
              <w:t>mputador SFF 8GB DDR4 HDD 256GB SSD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Processador: Mínimas configurações, Clock básico 3.6GHz, Nº de núcleos de CPU 4 Nº de threads 8, Cache: 6 MB, suporte a memória DDR4, podendo ser linha Intel Core ou Amd Ryzen, *serão aceitos somente processadores lançados a partir do segundo semestre de 2018.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Sistema operacional Windows 10 Pro 64 bits.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Placa mãe fabricada por a mesma empresa fabricante do computador</w:t>
            </w:r>
          </w:p>
          <w:p w:rsidR="00984DAA" w:rsidRDefault="00DA2588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BIOS desenvolvida por a mesma empresa fabricante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do computador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Suporte a UEFI versão 2.6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Memória flash ROM de 128 Mb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Idiomas: Portugues ou Ingles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Conformidade com as diretrizes do NIST SP800-147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Controle de permissão com senha de administrador e usuário para acesso e ou alteração para proteção de disco rigido e senha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capacidade de habilitar/desabilitar as portas USBs, HDD/SSD, DVD, serial e paralela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Capacidade de Boot atraves de: Unidades de armazenamento, unidade otica, adaptador de rede (PXE) e interfaces USB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Memória RAM: 4 GB DDR4 2400 Mhz Dual Channel (2 slots DIMM, suporte ao modo Dual Channel, até 32 GB DDR4 SDRAM(2666²/2400 Mhz, Unbuffered, Non-ECC))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Armazenamento: Disco Rigido do tipo HDD 500GB SATA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Opções Graficas: Deve possuir video integrado ao processador com memória alocada dinamicamente, e possuir Slot para Placa de video PCIe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Áudio de alta definição (High Definition Audio)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Rede 10/100/1000 Mbps, padrão Gigabit Ethernet, Conformidade com os padrões IEE 802.3, 802.3u e 802.3ab com LED de atividade/Velocidade de link; Suporta Wake-on-Lan, SNMP, PXE,CSMA/CD; Compatível com os padrões DASH 1.2 e WS-MAN; Conformidade com os padrões IEE 802.1q, 802.1p, 802.2, 802.1x, 802.3x; Eficiência de Energia IEE 802.3az; Auto-negociação IEE 802.3u, Full-Duplex, configurável totalmente por software, compatível TCP/IP v.4/v.6.</w:t>
            </w:r>
          </w:p>
          <w:p w:rsidR="00984DAA" w:rsidRDefault="00DA2588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Slots de expansão: 1x PCIe x16 v3.0, 1x PCIe x1 v3.0, 1x PCIe x4/SATA (M.2 2280) para SSD com suporte a AHCI NVMe, 1x PCIe x1(M.2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2230) para WI-FI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4x Serial ATA 6.0Gb/s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Formato SFF (Small Form Factor)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Portas de Conexão Traseira : 2x PS/2, 2x USB 2.0 + 2x USB 3.1Gen 1, 1x USB 3.1 Gen 2, 1x USB 3.1 Gen 2 type C (com função Always on para carregamento de dispositivos), 1x VGA + 1x HDMI, 1x RJ-45, 3x Audio;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Portas de Conexão Frontal: 2x USB 3.1Gen 1 + 1x Line in (Microfone) +1x Line out(fone de ouvido).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Fonte de Alimentação 100-240 V / 50-60 Hz automática, 180w PFC, Ativo Eficiência energética: 80Plus Gold;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Certificações: Compatibilidade eletromagnética: IEC 61000, CISPR22 e CISPR24, Segurança do usuário: IEC 60950 , Ruído acústico: De acordo com NBR 10152 (ISO 7779 e ISO 9296),  Equipamento ecológico: EPEAT 20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Acessórios:Teclado Padrão ABNT2, USB, resistência a derramamento de líquidos,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Mouse Ótico, 2 botões, com scroll, USB, resolução de 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1000 DP,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Acompanha Documentos e Acessórios Cabos e guia 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rápido de instalação Garantia 12 Meses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DA258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Unidade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695194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17</w:t>
            </w:r>
            <w:bookmarkStart w:id="0" w:name="_GoBack"/>
            <w:bookmarkEnd w:id="0"/>
          </w:p>
        </w:tc>
      </w:tr>
      <w:tr w:rsidR="00984DAA">
        <w:trPr>
          <w:trHeight w:val="113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DA258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DA258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36737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DA2588">
            <w:pP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MONITOR 21,5' LED FULL HD VGA, HDMI, DVI Tela:- Tamanho da tela: 54,6 cm (21,5 "), Resolução: Full HD (1920 x 1080), - Tempo de resposta: 5 ms, - Proporção da tela: 16: 9, - Tecnologia de Luz: LED</w:t>
            </w:r>
          </w:p>
          <w:p w:rsidR="00984DAA" w:rsidRDefault="00DA2588">
            <w:pP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Tecnologia painel: Twisted Nematic Film (TN Film), - Ângulo ajustável de exibição, - Ângulo de inclinação: -5º  para 25º. Ângulo de Visão: - Horizontal: 170º, - Vertical: 160º.</w:t>
            </w:r>
          </w:p>
          <w:p w:rsidR="00984DAA" w:rsidRDefault="00DA2588">
            <w:pP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Vídeo:- Resolução máxima: 1920 x 1080, - Padrão Refresh Rate: 60 Hz, - Suporte de cor: 16.7 milhões de cores,</w:t>
            </w:r>
          </w:p>
          <w:p w:rsidR="00984DAA" w:rsidRDefault="00DA2588">
            <w:pPr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Relação de contraste: 100.000.000: 1, - Brilho: 200 cd / m². Interfaces / Portas:- DVI,- VGA,- HDMI.</w:t>
            </w:r>
          </w:p>
          <w:p w:rsidR="00984DAA" w:rsidRDefault="00DA2588">
            <w:pP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Energia de Alimentação:- Tensão de entrada: 120 V AC / 230 V AC,- Consumo de energia: 18.10 W (Funcionamento),</w:t>
            </w:r>
          </w:p>
          <w:p w:rsidR="00984DAA" w:rsidRDefault="00DA2588">
            <w:pP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Consumo de energia: 450 mW (Stand-by), - Consumo de energia: 350 mW (Off-Mode).</w:t>
            </w:r>
          </w:p>
          <w:p w:rsidR="00984DAA" w:rsidRDefault="00DA2588">
            <w:pP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Físico:- Cor: Preto, - Montagem VESA: 100 x 100 mm. Certificado:- EPEAT Gold, - MPR</w:t>
            </w:r>
          </w:p>
          <w:p w:rsidR="00984DAA" w:rsidRDefault="00DA2588">
            <w:pP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Conteúdo da Embalagem:- 01 Monitor LED 21.5´, - 01 Cabo VGA, - 01 Cabo de alimentação,- Manual do Usuário Código Comprasnet 453202.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DA258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Unidade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DAA" w:rsidRDefault="001512B1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16</w:t>
            </w:r>
          </w:p>
          <w:p w:rsidR="001512B1" w:rsidRDefault="001512B1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984DAA" w:rsidRDefault="00984DAA">
      <w:pPr>
        <w:ind w:firstLine="1440"/>
        <w:jc w:val="both"/>
        <w:rPr>
          <w:rFonts w:ascii="Arial" w:eastAsia="Arial" w:hAnsi="Arial" w:cs="Arial"/>
        </w:rPr>
      </w:pPr>
    </w:p>
    <w:p w:rsidR="00984DAA" w:rsidRDefault="00DA2588">
      <w:pPr>
        <w:spacing w:line="360" w:lineRule="auto"/>
        <w:ind w:firstLine="7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:rsidR="00984DAA" w:rsidRDefault="00DA2588">
      <w:pPr>
        <w:spacing w:line="360" w:lineRule="auto"/>
        <w:ind w:firstLine="708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GESTOR DO CONTRATO: Silvana Aparecida Dal Molin</w:t>
      </w:r>
    </w:p>
    <w:p w:rsidR="00984DAA" w:rsidRDefault="00DA2588">
      <w:pPr>
        <w:tabs>
          <w:tab w:val="left" w:pos="720"/>
        </w:tabs>
        <w:spacing w:line="360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  <w:t>FISCAL DO CONTRATO: Leda Maria Ferrari</w:t>
      </w:r>
    </w:p>
    <w:p w:rsidR="00984DAA" w:rsidRDefault="00DA2588">
      <w:pPr>
        <w:tabs>
          <w:tab w:val="left" w:pos="720"/>
        </w:tabs>
        <w:spacing w:line="360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  <w:t>FISCAL SUPLENTE DO CONTRATO: Marizete Perin</w:t>
      </w:r>
    </w:p>
    <w:p w:rsidR="00984DAA" w:rsidRDefault="00984DAA">
      <w:pPr>
        <w:ind w:firstLine="708"/>
        <w:jc w:val="both"/>
        <w:rPr>
          <w:rFonts w:ascii="Arial" w:eastAsia="Arial" w:hAnsi="Arial" w:cs="Arial"/>
          <w:color w:val="000000"/>
        </w:rPr>
      </w:pPr>
    </w:p>
    <w:p w:rsidR="00984DAA" w:rsidRDefault="00DA2588">
      <w:pPr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Sendo o que tínhamos a solicitar, desejamos votos de elevada estima e consideração. </w:t>
      </w:r>
    </w:p>
    <w:p w:rsidR="00984DAA" w:rsidRDefault="00984DAA">
      <w:pPr>
        <w:tabs>
          <w:tab w:val="left" w:pos="1200"/>
          <w:tab w:val="center" w:pos="4679"/>
        </w:tabs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</w:p>
    <w:p w:rsidR="00984DAA" w:rsidRDefault="00DA2588">
      <w:pPr>
        <w:tabs>
          <w:tab w:val="left" w:pos="1200"/>
          <w:tab w:val="center" w:pos="4679"/>
        </w:tabs>
        <w:spacing w:line="360" w:lineRule="auto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Atenciosamente,</w:t>
      </w:r>
    </w:p>
    <w:p w:rsidR="00984DAA" w:rsidRDefault="00984DAA">
      <w:pPr>
        <w:tabs>
          <w:tab w:val="left" w:pos="1200"/>
          <w:tab w:val="center" w:pos="4679"/>
        </w:tabs>
        <w:spacing w:line="360" w:lineRule="auto"/>
        <w:jc w:val="right"/>
        <w:rPr>
          <w:rFonts w:ascii="Arial" w:eastAsia="Arial" w:hAnsi="Arial" w:cs="Arial"/>
          <w:sz w:val="24"/>
          <w:szCs w:val="24"/>
        </w:rPr>
      </w:pPr>
    </w:p>
    <w:p w:rsidR="00984DAA" w:rsidRDefault="00DA2588">
      <w:pPr>
        <w:tabs>
          <w:tab w:val="left" w:pos="1200"/>
          <w:tab w:val="center" w:pos="4679"/>
        </w:tabs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</w:t>
      </w:r>
    </w:p>
    <w:p w:rsidR="00984DAA" w:rsidRDefault="00DA2588">
      <w:pPr>
        <w:shd w:val="clear" w:color="auto" w:fill="FFFFFF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Silvana Aparecida Dal Molin</w:t>
      </w:r>
    </w:p>
    <w:p w:rsidR="00984DAA" w:rsidRDefault="00DA2588">
      <w:pPr>
        <w:shd w:val="clear" w:color="auto" w:fill="FFFFFF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Secretária de Educação, Cultura e Esportes.</w:t>
      </w:r>
    </w:p>
    <w:p w:rsidR="00984DAA" w:rsidRDefault="00DA2588">
      <w:pPr>
        <w:ind w:firstLine="709"/>
        <w:jc w:val="right"/>
        <w:rPr>
          <w:rFonts w:ascii="Arial" w:eastAsia="Arial" w:hAnsi="Arial" w:cs="Arial"/>
          <w:highlight w:val="white"/>
        </w:rPr>
      </w:pPr>
      <w:r>
        <w:rPr>
          <w:rFonts w:ascii="Arial" w:eastAsia="Arial" w:hAnsi="Arial" w:cs="Arial"/>
          <w:highlight w:val="white"/>
        </w:rPr>
        <w:t xml:space="preserve">                                                                                                   Decreto n.º 17618/2021</w:t>
      </w:r>
    </w:p>
    <w:sectPr w:rsidR="00984DAA">
      <w:headerReference w:type="default" r:id="rId6"/>
      <w:footerReference w:type="default" r:id="rId7"/>
      <w:pgSz w:w="11906" w:h="16838"/>
      <w:pgMar w:top="1417" w:right="1701" w:bottom="1417" w:left="1701" w:header="357" w:footer="567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9C9" w:rsidRDefault="00DA2588">
      <w:r>
        <w:separator/>
      </w:r>
    </w:p>
  </w:endnote>
  <w:endnote w:type="continuationSeparator" w:id="0">
    <w:p w:rsidR="00F329C9" w:rsidRDefault="00DA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DAA" w:rsidRDefault="00DA2588">
    <w:pPr>
      <w:tabs>
        <w:tab w:val="center" w:pos="4252"/>
        <w:tab w:val="right" w:pos="8504"/>
      </w:tabs>
      <w:rPr>
        <w:rFonts w:ascii="Arial" w:eastAsia="Arial" w:hAnsi="Arial" w:cs="Arial"/>
        <w:color w:val="000000"/>
        <w:sz w:val="18"/>
        <w:szCs w:val="18"/>
        <w:u w:val="single"/>
      </w:rPr>
    </w:pPr>
    <w:r>
      <w:rPr>
        <w:rFonts w:ascii="Arial" w:eastAsia="Arial" w:hAnsi="Arial" w:cs="Arial"/>
        <w:color w:val="000000"/>
        <w:sz w:val="18"/>
        <w:szCs w:val="18"/>
        <w:u w:val="single"/>
      </w:rPr>
      <w:t>PREFEITURA MUNICIPAL                                                                                    CNPJ 76.205.640/0001-08</w:t>
    </w:r>
  </w:p>
  <w:p w:rsidR="00984DAA" w:rsidRDefault="00DA2588">
    <w:pPr>
      <w:tabs>
        <w:tab w:val="center" w:pos="4252"/>
        <w:tab w:val="right" w:pos="8504"/>
      </w:tabs>
      <w:jc w:val="both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Av. Rio Grande do Sul, 130 – Fone (46) 3536 8800 – CEP 85.660-000 – Dois Vizinhos - PR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9C9" w:rsidRDefault="00DA2588">
      <w:r>
        <w:separator/>
      </w:r>
    </w:p>
  </w:footnote>
  <w:footnote w:type="continuationSeparator" w:id="0">
    <w:p w:rsidR="00F329C9" w:rsidRDefault="00DA2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DAA" w:rsidRDefault="00DA2588">
    <w:pP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95194">
      <w:rPr>
        <w:noProof/>
        <w:color w:val="000000"/>
      </w:rPr>
      <w:t>1</w:t>
    </w:r>
    <w:r>
      <w:rPr>
        <w:color w:val="000000"/>
      </w:rPr>
      <w:fldChar w:fldCharType="end"/>
    </w:r>
  </w:p>
  <w:tbl>
    <w:tblPr>
      <w:tblW w:w="8693" w:type="dxa"/>
      <w:tblLook w:val="04A0" w:firstRow="1" w:lastRow="0" w:firstColumn="1" w:lastColumn="0" w:noHBand="0" w:noVBand="1"/>
    </w:tblPr>
    <w:tblGrid>
      <w:gridCol w:w="2354"/>
      <w:gridCol w:w="6339"/>
    </w:tblGrid>
    <w:tr w:rsidR="00984DAA">
      <w:trPr>
        <w:trHeight w:val="1321"/>
      </w:trPr>
      <w:tc>
        <w:tcPr>
          <w:tcW w:w="2354" w:type="dxa"/>
          <w:tcBorders>
            <w:bottom w:val="single" w:sz="4" w:space="0" w:color="000000"/>
          </w:tcBorders>
        </w:tcPr>
        <w:p w:rsidR="00984DAA" w:rsidRDefault="00DA2588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191260" cy="905510"/>
                <wp:effectExtent l="0" t="0" r="0" b="0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1190520" cy="905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39" w:type="dxa"/>
          <w:tcBorders>
            <w:bottom w:val="single" w:sz="4" w:space="0" w:color="000000"/>
          </w:tcBorders>
          <w:vAlign w:val="center"/>
        </w:tcPr>
        <w:p w:rsidR="00984DAA" w:rsidRDefault="00DA2588">
          <w:pPr>
            <w:ind w:right="-70"/>
            <w:rPr>
              <w:rFonts w:ascii="Arial" w:eastAsia="Arial" w:hAnsi="Arial" w:cs="Arial"/>
              <w:b/>
              <w:sz w:val="40"/>
              <w:szCs w:val="40"/>
            </w:rPr>
          </w:pPr>
          <w:r>
            <w:rPr>
              <w:rFonts w:ascii="Arial" w:eastAsia="Arial" w:hAnsi="Arial" w:cs="Arial"/>
              <w:b/>
              <w:sz w:val="40"/>
              <w:szCs w:val="40"/>
            </w:rPr>
            <w:t xml:space="preserve">  Município de Dois Vizinhos</w:t>
          </w:r>
        </w:p>
      </w:tc>
    </w:tr>
  </w:tbl>
  <w:p w:rsidR="00984DAA" w:rsidRDefault="00984DAA">
    <w:pPr>
      <w:tabs>
        <w:tab w:val="center" w:pos="4419"/>
        <w:tab w:val="right" w:pos="8838"/>
      </w:tabs>
      <w:ind w:right="360"/>
      <w:rPr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4DAA"/>
    <w:rsid w:val="001512B1"/>
    <w:rsid w:val="00695194"/>
    <w:rsid w:val="00984DAA"/>
    <w:rsid w:val="00AD7ABD"/>
    <w:rsid w:val="00DA2588"/>
    <w:rsid w:val="00F3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59EAA-E690-42CE-89CE-3D40A5B0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b/>
      <w:sz w:val="24"/>
      <w:szCs w:val="24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qFormat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balo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CabealhoeRodap"/>
  </w:style>
  <w:style w:type="paragraph" w:styleId="Rodap">
    <w:name w:val="footer"/>
    <w:basedOn w:val="CabealhoeRodap"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856</Words>
  <Characters>4623</Characters>
  <Application>Microsoft Office Word</Application>
  <DocSecurity>0</DocSecurity>
  <Lines>38</Lines>
  <Paragraphs>10</Paragraphs>
  <ScaleCrop>false</ScaleCrop>
  <Company/>
  <LinksUpToDate>false</LinksUpToDate>
  <CharactersWithSpaces>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MATHEUS PONTE</cp:lastModifiedBy>
  <cp:revision>8</cp:revision>
  <cp:lastPrinted>2022-03-23T18:34:00Z</cp:lastPrinted>
  <dcterms:created xsi:type="dcterms:W3CDTF">2022-03-23T18:34:00Z</dcterms:created>
  <dcterms:modified xsi:type="dcterms:W3CDTF">2022-05-27T17:27:00Z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